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7"/>
        <w:jc w:val="center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Извещение о проведении открытого конкурса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0" w:right="0" w:firstLine="839"/>
        <w:jc w:val="center"/>
        <w:spacing w:line="272" w:lineRule="atLeast"/>
        <w:shd w:val="clear" w:color="ffffff" w:fill="ffffff"/>
        <w:rPr>
          <w:b/>
          <w:bCs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4"/>
          <w:szCs w:val="24"/>
          <w:highlight w:val="none"/>
        </w:rPr>
        <w:t xml:space="preserve">по отбору управляющей организации для управления многоквартирными домами, </w:t>
      </w:r>
      <w:r>
        <w:rPr>
          <w:b/>
          <w:bCs/>
          <w:sz w:val="24"/>
          <w:szCs w:val="24"/>
          <w:highlight w:val="none"/>
        </w:rPr>
        <w:t xml:space="preserve">расположенными по </w:t>
      </w:r>
      <w:r>
        <w:rPr>
          <w:b/>
          <w:bCs/>
          <w:sz w:val="24"/>
          <w:szCs w:val="24"/>
          <w:highlight w:val="none"/>
        </w:rPr>
        <w:t xml:space="preserve">адресу.: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none"/>
        </w:rPr>
        <w:t xml:space="preserve">Иркутская область, г. Тайшет, мкр. им. Мясникова, д.9 и д.10, 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none"/>
        </w:rPr>
        <w:t xml:space="preserve">объекты конкурса которых объединены в один лот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right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10 июня 2026 года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37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1. Основание проведения открытого конкурса: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ind w:left="0" w:right="0" w:firstLine="901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С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обственниками помещений в многоквартирных домах по адресу: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Иркутская область, г. Тайшет, мкр. им. Мясникова, д.9 и д.10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 не выбран способ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 управления указанными  домами.</w:t>
      </w:r>
      <w:r>
        <w:rPr>
          <w:highlight w:val="none"/>
        </w:rPr>
      </w:r>
      <w:r>
        <w:rPr>
          <w:highlight w:val="none"/>
        </w:rPr>
      </w:r>
    </w:p>
    <w:p>
      <w:pPr>
        <w:pStyle w:val="937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Нормативные правовые акты, на основании которых проводится конкурс: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-Гражданский кодекс Российской Федерации;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-Жилищный кодекс Российской Федерации;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-Постановление Правительства Российской Федерации от 6 февраля 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0"/>
        <w:jc w:val="both"/>
        <w:spacing w:line="272" w:lineRule="atLeast"/>
        <w:shd w:val="clear" w:color="ffffff" w:fill="ffffff"/>
        <w:rPr>
          <w:rFonts w:ascii="Times New Roman" w:hAnsi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  -Распоряжение Управления жилищно-коммунального хозяйства ад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министрации Тайшетского муниципального округа от 8 июня 2026 года № 19 «О проведении открытого конкурса по отбору управляющей организации для управления  многоквартирными домами, расположенными по адресу: </w:t>
      </w:r>
      <w:r>
        <w:rPr>
          <w:b w:val="0"/>
          <w:bCs w:val="0"/>
          <w:sz w:val="24"/>
          <w:szCs w:val="24"/>
          <w:highlight w:val="non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мкр. им. Мясникова, д.9 и д.10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(далее распоряжение №19).</w:t>
      </w:r>
      <w:r>
        <w:rPr>
          <w:rFonts w:ascii="Times New Roman" w:hAnsi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/>
          <w:sz w:val="24"/>
          <w:szCs w:val="24"/>
          <w:highlight w:val="none"/>
        </w:rPr>
      </w:r>
    </w:p>
    <w:p>
      <w:pPr>
        <w:pStyle w:val="937"/>
        <w:jc w:val="both"/>
        <w:rPr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 xml:space="preserve">2. Наименование, место нахождения, почтовый адрес и адрес электронной почты, номер те</w:t>
      </w:r>
      <w:r>
        <w:rPr>
          <w:b/>
          <w:sz w:val="24"/>
          <w:szCs w:val="24"/>
          <w:highlight w:val="none"/>
        </w:rPr>
        <w:t xml:space="preserve">лефона организатора конкурса:</w:t>
      </w:r>
      <w:r>
        <w:rPr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Управление жилищно-коммунального хозяйства администрации Тайшетского муниципального округа</w:t>
      </w:r>
      <w:r>
        <w:rPr>
          <w:sz w:val="24"/>
          <w:szCs w:val="24"/>
          <w:highlight w:val="none"/>
        </w:rPr>
        <w:t xml:space="preserve">, адрес: 665009, Иркутская область, г.Тайшет, ул.Свободы,</w:t>
      </w:r>
      <w:r>
        <w:rPr>
          <w:sz w:val="24"/>
          <w:szCs w:val="24"/>
          <w:highlight w:val="none"/>
        </w:rPr>
        <w:t xml:space="preserve"> д.</w:t>
      </w:r>
      <w:r>
        <w:rPr>
          <w:sz w:val="24"/>
          <w:szCs w:val="24"/>
          <w:highlight w:val="none"/>
        </w:rPr>
        <w:t xml:space="preserve">4</w:t>
      </w:r>
      <w:r>
        <w:rPr>
          <w:sz w:val="24"/>
          <w:szCs w:val="24"/>
          <w:highlight w:val="none"/>
        </w:rPr>
        <w:t xml:space="preserve">, помещ.</w:t>
      </w:r>
      <w:r>
        <w:rPr>
          <w:sz w:val="24"/>
          <w:szCs w:val="24"/>
          <w:highlight w:val="none"/>
        </w:rPr>
        <w:t xml:space="preserve">4</w:t>
      </w:r>
      <w:r>
        <w:rPr>
          <w:sz w:val="24"/>
          <w:szCs w:val="24"/>
          <w:highlight w:val="none"/>
        </w:rPr>
        <w:t xml:space="preserve">Н</w:t>
      </w:r>
      <w:r>
        <w:rPr>
          <w:sz w:val="24"/>
          <w:szCs w:val="24"/>
          <w:highlight w:val="none"/>
        </w:rPr>
        <w:t xml:space="preserve">, каб. 28, электронная почта:</w:t>
      </w:r>
      <w:r>
        <w:rPr>
          <w:sz w:val="24"/>
          <w:szCs w:val="24"/>
          <w:highlight w:val="none"/>
          <w:lang w:val="en-US"/>
        </w:rPr>
        <w:fldChar w:fldCharType="begin"/>
      </w:r>
      <w:r>
        <w:rPr>
          <w:sz w:val="24"/>
          <w:szCs w:val="24"/>
          <w:highlight w:val="none"/>
        </w:rPr>
        <w:instrText xml:space="preserve"> </w:instrText>
      </w:r>
      <w:r>
        <w:rPr>
          <w:sz w:val="24"/>
          <w:szCs w:val="24"/>
          <w:highlight w:val="none"/>
          <w:lang w:val="en-US"/>
        </w:rPr>
        <w:instrText xml:space="preserve">HYPERLINK</w:instrText>
      </w:r>
      <w:r>
        <w:rPr>
          <w:sz w:val="24"/>
          <w:szCs w:val="24"/>
          <w:highlight w:val="none"/>
        </w:rPr>
        <w:instrText xml:space="preserve"> "</w:instrText>
      </w:r>
      <w:r>
        <w:rPr>
          <w:sz w:val="24"/>
          <w:szCs w:val="24"/>
          <w:highlight w:val="none"/>
          <w:lang w:val="en-US"/>
        </w:rPr>
        <w:instrText xml:space="preserve">http</w:instrText>
      </w:r>
      <w:r>
        <w:rPr>
          <w:sz w:val="24"/>
          <w:szCs w:val="24"/>
          <w:highlight w:val="none"/>
        </w:rPr>
        <w:instrText xml:space="preserve">://</w:instrText>
      </w:r>
      <w:r>
        <w:rPr>
          <w:sz w:val="24"/>
          <w:szCs w:val="24"/>
          <w:highlight w:val="none"/>
          <w:lang w:val="en-US"/>
        </w:rPr>
        <w:instrText xml:space="preserve">www</w:instrText>
      </w:r>
      <w:r>
        <w:rPr>
          <w:sz w:val="24"/>
          <w:szCs w:val="24"/>
          <w:highlight w:val="none"/>
        </w:rPr>
        <w:instrText xml:space="preserve">.</w:instrText>
      </w:r>
      <w:r>
        <w:rPr>
          <w:sz w:val="24"/>
          <w:szCs w:val="24"/>
          <w:highlight w:val="none"/>
          <w:lang w:val="en-US"/>
        </w:rPr>
        <w:instrText xml:space="preserve">umitgp</w:instrText>
      </w:r>
      <w:r>
        <w:rPr>
          <w:sz w:val="24"/>
          <w:szCs w:val="24"/>
          <w:highlight w:val="none"/>
        </w:rPr>
        <w:instrText xml:space="preserve">@" </w:instrText>
      </w:r>
      <w:r>
        <w:rPr>
          <w:sz w:val="24"/>
          <w:szCs w:val="24"/>
          <w:highlight w:val="none"/>
          <w:lang w:val="en-US"/>
        </w:rPr>
        <w:fldChar w:fldCharType="separate"/>
      </w:r>
      <w:r>
        <w:rPr>
          <w:rStyle w:val="949"/>
          <w:sz w:val="24"/>
          <w:szCs w:val="24"/>
          <w:highlight w:val="none"/>
        </w:rPr>
        <w:t xml:space="preserve">.</w:t>
      </w:r>
      <w:r>
        <w:rPr>
          <w:rStyle w:val="949"/>
          <w:sz w:val="24"/>
          <w:szCs w:val="24"/>
          <w:highlight w:val="none"/>
        </w:rPr>
        <w:t xml:space="preserve">zkh.zkh@</w:t>
      </w:r>
      <w:r>
        <w:rPr>
          <w:sz w:val="24"/>
          <w:szCs w:val="24"/>
          <w:highlight w:val="none"/>
          <w:lang w:val="en-US"/>
        </w:rPr>
        <w:fldChar w:fldCharType="end"/>
      </w:r>
      <w:r>
        <w:rPr>
          <w:sz w:val="24"/>
          <w:szCs w:val="24"/>
          <w:highlight w:val="none"/>
          <w:lang w:val="en-US"/>
        </w:rPr>
        <w:t xml:space="preserve">mail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  <w:lang w:val="en-US"/>
        </w:rPr>
        <w:t xml:space="preserve">ru</w:t>
      </w:r>
      <w:r>
        <w:rPr>
          <w:sz w:val="24"/>
          <w:szCs w:val="24"/>
          <w:highlight w:val="none"/>
        </w:rPr>
        <w:t xml:space="preserve">., контактный телефон: 8(39563) 2-20-38, 2-04-27.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both"/>
        <w:rPr>
          <w:b/>
          <w:sz w:val="22"/>
          <w:szCs w:val="22"/>
          <w:highlight w:val="none"/>
        </w:rPr>
      </w:pPr>
      <w:r>
        <w:rPr>
          <w:b/>
          <w:sz w:val="24"/>
          <w:szCs w:val="24"/>
          <w:highlight w:val="none"/>
        </w:rPr>
        <w:t xml:space="preserve">3. </w:t>
      </w:r>
      <w:r>
        <w:rPr>
          <w:b/>
          <w:sz w:val="24"/>
          <w:szCs w:val="24"/>
          <w:highlight w:val="none"/>
        </w:rPr>
        <w:t xml:space="preserve">Характеристика объектов конкурса, включая адрес многоквартирного дома, год постройки, этажность, </w:t>
      </w:r>
      <w:r>
        <w:rPr>
          <w:b/>
          <w:sz w:val="24"/>
          <w:szCs w:val="24"/>
          <w:highlight w:val="none"/>
        </w:rPr>
        <w:t xml:space="preserve">количество квартир, пло</w:t>
      </w:r>
      <w:r>
        <w:rPr>
          <w:b/>
          <w:sz w:val="24"/>
          <w:szCs w:val="24"/>
          <w:highlight w:val="none"/>
        </w:rPr>
        <w:t xml:space="preserve">щадь жилы</w:t>
      </w:r>
      <w:r>
        <w:rPr>
          <w:b/>
          <w:sz w:val="24"/>
          <w:szCs w:val="24"/>
          <w:highlight w:val="none"/>
        </w:rPr>
        <w:t xml:space="preserve">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доме. </w:t>
      </w:r>
      <w:r>
        <w:rPr>
          <w:b/>
          <w:sz w:val="22"/>
          <w:szCs w:val="22"/>
          <w:highlight w:val="none"/>
        </w:rPr>
      </w:r>
      <w:r>
        <w:rPr>
          <w:b/>
          <w:sz w:val="22"/>
          <w:szCs w:val="22"/>
          <w:highlight w:val="none"/>
        </w:rPr>
      </w:r>
    </w:p>
    <w:p>
      <w:pPr>
        <w:ind w:firstLine="360"/>
        <w:jc w:val="both"/>
        <w:rPr>
          <w:sz w:val="22"/>
          <w:szCs w:val="22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Характеристика объекта конкурса по многоквартирному дому, год постройки, этажности,</w:t>
      </w:r>
      <w:r>
        <w:rPr>
          <w:b w:val="0"/>
          <w:bCs w:val="0"/>
          <w:sz w:val="24"/>
          <w:szCs w:val="24"/>
          <w:highlight w:val="none"/>
        </w:rPr>
        <w:t xml:space="preserve"> количества квартир, площади жилых, нежилых помещений и помещений общего использования, видов благоустройства, сери и типа постройки, </w:t>
      </w:r>
      <w:r>
        <w:rPr>
          <w:b w:val="0"/>
          <w:bCs w:val="0"/>
          <w:sz w:val="24"/>
          <w:szCs w:val="24"/>
          <w:highlight w:val="none"/>
        </w:rPr>
        <w:t xml:space="preserve">а также кадастровый номер (при его наличии) и площадь земельного участка, </w:t>
      </w:r>
      <w:r>
        <w:rPr>
          <w:b w:val="0"/>
          <w:bCs w:val="0"/>
          <w:sz w:val="24"/>
          <w:szCs w:val="24"/>
          <w:highlight w:val="none"/>
        </w:rPr>
        <w:t xml:space="preserve">входящих в состав общего имущества собственников помещений в многоквартирном доме, отражены в </w:t>
      </w:r>
      <w:r>
        <w:rPr>
          <w:sz w:val="24"/>
          <w:szCs w:val="24"/>
          <w:highlight w:val="none"/>
        </w:rPr>
        <w:t xml:space="preserve">приложении № 1 к </w:t>
      </w:r>
      <w:r>
        <w:rPr>
          <w:sz w:val="24"/>
          <w:szCs w:val="24"/>
          <w:highlight w:val="none"/>
        </w:rPr>
        <w:t xml:space="preserve">конкурсной документации по открытому конкурсу по отбору управляющей организации для управления многоквартирными домами</w:t>
      </w:r>
      <w:r>
        <w:rPr>
          <w:sz w:val="24"/>
          <w:szCs w:val="24"/>
          <w:highlight w:val="none"/>
        </w:rPr>
        <w:t xml:space="preserve">, </w:t>
      </w:r>
      <w:r>
        <w:rPr>
          <w:sz w:val="24"/>
          <w:szCs w:val="24"/>
          <w:highlight w:val="none"/>
        </w:rPr>
        <w:t xml:space="preserve">утвержденной </w:t>
      </w:r>
      <w:r>
        <w:rPr>
          <w:sz w:val="24"/>
          <w:szCs w:val="24"/>
          <w:highlight w:val="none"/>
        </w:rPr>
        <w:t xml:space="preserve">распоряжением № 19.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937"/>
        <w:ind w:firstLine="0"/>
        <w:jc w:val="both"/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4. </w:t>
      </w:r>
      <w:r>
        <w:rPr>
          <w:b/>
          <w:sz w:val="24"/>
          <w:szCs w:val="24"/>
          <w:highlight w:val="none"/>
        </w:rPr>
        <w:t xml:space="preserve">Перечень обязательных работ и услуг </w:t>
      </w:r>
      <w:r>
        <w:rPr>
          <w:sz w:val="24"/>
          <w:szCs w:val="24"/>
          <w:highlight w:val="none"/>
        </w:rPr>
        <w:t xml:space="preserve">по содержанию и ремонту общего имущества собственников </w:t>
      </w:r>
      <w:r>
        <w:rPr>
          <w:sz w:val="24"/>
          <w:szCs w:val="24"/>
          <w:highlight w:val="none"/>
        </w:rPr>
        <w:t xml:space="preserve">помещений в многоквартирном доме, включая периодичность каждой из таких работ и услуг, указаны в </w:t>
      </w:r>
      <w:r>
        <w:rPr>
          <w:sz w:val="24"/>
          <w:szCs w:val="24"/>
          <w:highlight w:val="none"/>
        </w:rPr>
        <w:t xml:space="preserve">приложении № 2 к </w:t>
      </w:r>
      <w:r>
        <w:rPr>
          <w:sz w:val="24"/>
          <w:szCs w:val="24"/>
          <w:highlight w:val="none"/>
        </w:rPr>
        <w:t xml:space="preserve">конкурсной документации по открытому конкурсу по отбору управляющей организации для управления многоквартирными домами</w:t>
      </w:r>
      <w:r>
        <w:rPr>
          <w:sz w:val="24"/>
          <w:szCs w:val="24"/>
          <w:highlight w:val="none"/>
        </w:rPr>
        <w:t xml:space="preserve">, утвержденной </w:t>
      </w:r>
      <w:r>
        <w:rPr>
          <w:sz w:val="24"/>
          <w:szCs w:val="24"/>
          <w:highlight w:val="none"/>
        </w:rPr>
        <w:t xml:space="preserve">распоряжением № 19.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7"/>
        <w:ind w:firstLine="0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5</w:t>
      </w:r>
      <w:r>
        <w:rPr>
          <w:b/>
          <w:sz w:val="24"/>
          <w:szCs w:val="24"/>
          <w:highlight w:val="none"/>
        </w:rPr>
        <w:t xml:space="preserve">. Размер платы за содержание и ремонт жилого помещения составляет: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37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ab/>
      </w:r>
      <w:r>
        <w:rPr>
          <w:sz w:val="24"/>
          <w:szCs w:val="24"/>
          <w:highlight w:val="none"/>
        </w:rPr>
        <w:t xml:space="preserve">Иркутская область г. Тайшет, мкр.им.Мясникова, д. 9 </w:t>
      </w:r>
      <w:r>
        <w:rPr>
          <w:sz w:val="24"/>
          <w:szCs w:val="24"/>
          <w:highlight w:val="none"/>
        </w:rPr>
        <w:t xml:space="preserve">– </w:t>
      </w:r>
      <w:r>
        <w:rPr>
          <w:sz w:val="24"/>
          <w:szCs w:val="24"/>
          <w:highlight w:val="none"/>
        </w:rPr>
        <w:t xml:space="preserve">23,96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руб. 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за 1</w:t>
      </w:r>
      <w:r>
        <w:rPr>
          <w:sz w:val="24"/>
          <w:szCs w:val="24"/>
          <w:highlight w:val="none"/>
        </w:rPr>
        <w:t xml:space="preserve"> кв.м. общей пл</w:t>
      </w:r>
      <w:r>
        <w:rPr>
          <w:sz w:val="24"/>
          <w:szCs w:val="24"/>
          <w:highlight w:val="none"/>
        </w:rPr>
        <w:t xml:space="preserve">ощади в месяц;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ab/>
      </w:r>
      <w:r>
        <w:rPr>
          <w:sz w:val="24"/>
          <w:szCs w:val="24"/>
          <w:highlight w:val="none"/>
        </w:rPr>
        <w:t xml:space="preserve">Иркутская область г. Тайшет, мкр.им.Мясникова, д. 10 </w:t>
      </w:r>
      <w:r>
        <w:rPr>
          <w:sz w:val="24"/>
          <w:szCs w:val="24"/>
          <w:highlight w:val="none"/>
        </w:rPr>
        <w:t xml:space="preserve"> – </w:t>
      </w:r>
      <w:r>
        <w:rPr>
          <w:sz w:val="24"/>
          <w:szCs w:val="24"/>
          <w:highlight w:val="none"/>
        </w:rPr>
        <w:t xml:space="preserve">23,96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руб. 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за 1</w:t>
      </w:r>
      <w:r>
        <w:rPr>
          <w:sz w:val="24"/>
          <w:szCs w:val="24"/>
          <w:highlight w:val="none"/>
        </w:rPr>
        <w:t xml:space="preserve"> кв.м. общей пл</w:t>
      </w:r>
      <w:r>
        <w:rPr>
          <w:sz w:val="24"/>
          <w:szCs w:val="24"/>
          <w:highlight w:val="none"/>
        </w:rPr>
        <w:t xml:space="preserve">ощади в месяц.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7"/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6</w:t>
      </w:r>
      <w:r>
        <w:rPr>
          <w:b/>
          <w:sz w:val="24"/>
          <w:szCs w:val="24"/>
          <w:highlight w:val="none"/>
        </w:rPr>
        <w:t xml:space="preserve">. Перечень коммунальных услуг, предоставляемых управляющей организацией в порядке, установленном законодательством РФ: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7"/>
        <w:ind w:firstLine="708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-отопление;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горячее водоснабжение;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холодное водоснабжение;</w:t>
      </w:r>
      <w:r>
        <w:rPr>
          <w:sz w:val="24"/>
          <w:szCs w:val="24"/>
          <w:highlight w:val="none"/>
        </w:rPr>
        <w:t xml:space="preserve"> водоотведение</w:t>
      </w:r>
      <w:r>
        <w:rPr>
          <w:sz w:val="24"/>
          <w:szCs w:val="24"/>
          <w:highlight w:val="none"/>
        </w:rPr>
        <w:t xml:space="preserve">; </w:t>
      </w:r>
      <w:r>
        <w:rPr>
          <w:sz w:val="24"/>
          <w:szCs w:val="24"/>
          <w:highlight w:val="none"/>
        </w:rPr>
        <w:t xml:space="preserve">электроснабжение;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обращение с твердыми коммунальными отходами.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7"/>
        <w:ind w:firstLine="0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7</w:t>
      </w:r>
      <w:r>
        <w:rPr>
          <w:b/>
          <w:sz w:val="24"/>
          <w:szCs w:val="24"/>
          <w:highlight w:val="none"/>
        </w:rPr>
        <w:t xml:space="preserve">. Адрес официального сайта, на котором размещена конкурсная документация, срок, место и порядок предоставления конкурсной документации: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46"/>
        <w:ind w:firstLine="540"/>
        <w:jc w:val="both"/>
        <w:widowControl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Участник конкурса имеет возможность ознакомиться с конкурсной документацией на официальном сайте </w:t>
      </w:r>
      <w:r>
        <w:rPr>
          <w:rFonts w:ascii="Times New Roman" w:hAnsi="Times New Roman"/>
          <w:sz w:val="24"/>
          <w:szCs w:val="24"/>
          <w:highlight w:val="none"/>
        </w:rPr>
        <w:t xml:space="preserve">торгов </w:t>
      </w:r>
      <w:r>
        <w:rPr>
          <w:rFonts w:ascii="Times New Roman" w:hAnsi="Times New Roman"/>
          <w:sz w:val="24"/>
          <w:szCs w:val="24"/>
          <w:highlight w:val="none"/>
        </w:rPr>
        <w:fldChar w:fldCharType="begin"/>
      </w:r>
      <w:r>
        <w:rPr>
          <w:rFonts w:ascii="Times New Roman" w:hAnsi="Times New Roman"/>
          <w:sz w:val="24"/>
          <w:szCs w:val="24"/>
          <w:highlight w:val="none"/>
        </w:rPr>
        <w:instrText xml:space="preserve">HYPERLINK "http://www.torgi.gov.ru"</w:instrText>
      </w:r>
      <w:r>
        <w:rPr>
          <w:rFonts w:ascii="Times New Roman" w:hAnsi="Times New Roman"/>
          <w:sz w:val="24"/>
          <w:szCs w:val="24"/>
          <w:highlight w:val="none"/>
        </w:rPr>
        <w:fldChar w:fldCharType="separate"/>
      </w:r>
      <w:r>
        <w:rPr>
          <w:rStyle w:val="949"/>
          <w:rFonts w:ascii="Times New Roman" w:hAnsi="Times New Roman"/>
          <w:sz w:val="24"/>
          <w:szCs w:val="24"/>
          <w:highlight w:val="none"/>
          <w:lang w:val="en-US"/>
        </w:rPr>
        <w:t xml:space="preserve">www</w:t>
      </w:r>
      <w:r>
        <w:rPr>
          <w:rStyle w:val="949"/>
          <w:rFonts w:ascii="Times New Roman" w:hAnsi="Times New Roman"/>
          <w:sz w:val="24"/>
          <w:szCs w:val="24"/>
          <w:highlight w:val="none"/>
        </w:rPr>
        <w:t xml:space="preserve">.</w:t>
      </w:r>
      <w:r>
        <w:rPr>
          <w:rStyle w:val="949"/>
          <w:rFonts w:ascii="Times New Roman" w:hAnsi="Times New Roman"/>
          <w:sz w:val="24"/>
          <w:szCs w:val="24"/>
          <w:highlight w:val="none"/>
          <w:lang w:val="en-US"/>
        </w:rPr>
        <w:t xml:space="preserve">torgi</w:t>
      </w:r>
      <w:r>
        <w:rPr>
          <w:rStyle w:val="949"/>
          <w:rFonts w:ascii="Times New Roman" w:hAnsi="Times New Roman"/>
          <w:sz w:val="24"/>
          <w:szCs w:val="24"/>
          <w:highlight w:val="none"/>
        </w:rPr>
        <w:t xml:space="preserve">.</w:t>
      </w:r>
      <w:r>
        <w:rPr>
          <w:rStyle w:val="949"/>
          <w:rFonts w:ascii="Times New Roman" w:hAnsi="Times New Roman"/>
          <w:sz w:val="24"/>
          <w:szCs w:val="24"/>
          <w:highlight w:val="none"/>
          <w:lang w:val="en-US"/>
        </w:rPr>
        <w:t xml:space="preserve">gov</w:t>
      </w:r>
      <w:r>
        <w:rPr>
          <w:rStyle w:val="949"/>
          <w:rFonts w:ascii="Times New Roman" w:hAnsi="Times New Roman"/>
          <w:sz w:val="24"/>
          <w:szCs w:val="24"/>
          <w:highlight w:val="none"/>
        </w:rPr>
        <w:t xml:space="preserve">.</w:t>
      </w:r>
      <w:r>
        <w:rPr>
          <w:rStyle w:val="949"/>
          <w:rFonts w:ascii="Times New Roman" w:hAnsi="Times New Roman"/>
          <w:sz w:val="24"/>
          <w:szCs w:val="24"/>
          <w:highlight w:val="none"/>
          <w:lang w:val="en-US"/>
        </w:rPr>
        <w:t xml:space="preserve">ru</w:t>
      </w:r>
      <w:r>
        <w:rPr>
          <w:rFonts w:ascii="Times New Roman" w:hAnsi="Times New Roman"/>
          <w:sz w:val="24"/>
          <w:szCs w:val="24"/>
          <w:highlight w:val="none"/>
        </w:rPr>
        <w:fldChar w:fldCharType="end"/>
      </w:r>
      <w:r>
        <w:rPr>
          <w:rFonts w:ascii="Times New Roman" w:hAnsi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 на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официальном сайте Администрации Тайшетского муниципального округа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hyperlink r:id="rId11" w:tooltip="https://taishet.irkmo.ru/" w:history="1">
        <w:r>
          <w:rPr>
            <w:rStyle w:val="949"/>
            <w:rFonts w:ascii="Times New Roman" w:hAnsi="Times New Roman" w:cs="Times New Roman"/>
            <w:sz w:val="24"/>
            <w:szCs w:val="24"/>
            <w:highlight w:val="none"/>
          </w:rPr>
          <w:t xml:space="preserve">https://taishet.irk</w:t>
        </w:r>
        <w:r>
          <w:rPr>
            <w:rStyle w:val="949"/>
            <w:rFonts w:ascii="Times New Roman" w:hAnsi="Times New Roman" w:cs="Times New Roman"/>
            <w:sz w:val="24"/>
            <w:szCs w:val="24"/>
            <w:highlight w:val="none"/>
          </w:rPr>
          <w:t xml:space="preserve">mo.ru</w:t>
        </w:r>
        <w:r>
          <w:rPr>
            <w:rStyle w:val="949"/>
            <w:rFonts w:ascii="Times New Roman" w:hAnsi="Times New Roman" w:cs="Times New Roman"/>
            <w:sz w:val="24"/>
            <w:szCs w:val="24"/>
            <w:highlight w:val="none"/>
          </w:rPr>
          <w:t xml:space="preserve">/</w:t>
        </w:r>
        <w:r>
          <w:rPr>
            <w:rStyle w:val="949"/>
            <w:rFonts w:ascii="Times New Roman" w:hAnsi="Times New Roman" w:cs="Times New Roman"/>
            <w:sz w:val="24"/>
            <w:szCs w:val="24"/>
            <w:highlight w:val="none"/>
          </w:rPr>
        </w:r>
      </w:hyperlink>
      <w:r>
        <w:rPr>
          <w:rFonts w:ascii="Times New Roman" w:hAnsi="Times New Roman" w:cs="Times New Roman"/>
          <w:sz w:val="24"/>
          <w:szCs w:val="24"/>
          <w:highlight w:val="none"/>
        </w:rPr>
        <w:t xml:space="preserve"> с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15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06.20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2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6г.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pStyle w:val="946"/>
        <w:ind w:firstLine="540"/>
        <w:jc w:val="both"/>
        <w:widowControl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Конкурсная документация доступна для ознакомления всеми заинтересованными лицами без взимания платы.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p>
      <w:pPr>
        <w:pStyle w:val="946"/>
        <w:ind w:firstLine="540"/>
        <w:jc w:val="both"/>
        <w:widowControl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37"/>
        <w:ind w:firstLine="0"/>
        <w:jc w:val="both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8</w:t>
      </w:r>
      <w:r>
        <w:rPr>
          <w:b/>
          <w:sz w:val="24"/>
          <w:szCs w:val="24"/>
          <w:highlight w:val="none"/>
        </w:rPr>
        <w:t xml:space="preserve">. Место, порядок и срок подачи заявок на участие в конкурсе: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Дата начала подачи заявок: с 15 июня 2026 года.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Дата окончания приема заявок 14 июля 2026 года.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Место и порядок подачи заявок: прием заявок по адресу организатора конкурса в рабочие дни понедельник – четверг с 08-00 до 17-15, пятница с 08-00 до 16-00, перерыв на обед с 12-00 до 13-00.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Окончание приема заявок непосредственно перед началом процедуры вскрытия конвертов.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Для участия в конкурсе заинтересованное лицо подает заявку по установленной форме с приложениями. Форма заявки на участие в конкурсе с приложениями приведена в конкурсной документации.</w:t>
      </w:r>
      <w:r>
        <w:rPr>
          <w:b w:val="0"/>
          <w:bCs w:val="0"/>
          <w:sz w:val="24"/>
          <w:szCs w:val="24"/>
          <w:highlight w:val="none"/>
        </w:rPr>
        <w:t xml:space="preserve"> Заявки принимаются на бумажном носителе,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37"/>
        <w:ind w:right="-6" w:firstLine="0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9</w:t>
      </w:r>
      <w:r>
        <w:rPr>
          <w:b/>
          <w:sz w:val="24"/>
          <w:szCs w:val="24"/>
          <w:highlight w:val="none"/>
        </w:rPr>
        <w:t xml:space="preserve">. Место, дата и время вскрытия конвертов с заявками на участие в конкурсе: 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37"/>
        <w:ind w:firstLine="708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Место, дата и время вскрытия конвертов с заявками на участие в конкурс</w:t>
      </w:r>
      <w:r>
        <w:rPr>
          <w:b w:val="0"/>
          <w:bCs w:val="0"/>
          <w:sz w:val="24"/>
          <w:szCs w:val="24"/>
          <w:highlight w:val="none"/>
        </w:rPr>
        <w:t xml:space="preserve">е: Иркутская область, г. Тайшет, ул.Свободы, </w:t>
      </w:r>
      <w:r>
        <w:rPr>
          <w:b w:val="0"/>
          <w:bCs w:val="0"/>
          <w:sz w:val="24"/>
          <w:szCs w:val="24"/>
          <w:highlight w:val="none"/>
        </w:rPr>
        <w:t xml:space="preserve">д.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, помещ.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Н</w:t>
      </w:r>
      <w:r>
        <w:rPr>
          <w:b w:val="0"/>
          <w:bCs w:val="0"/>
          <w:sz w:val="24"/>
          <w:szCs w:val="24"/>
          <w:highlight w:val="none"/>
        </w:rPr>
        <w:t xml:space="preserve">, кабинет 28,  14 июля 2026 года в 10-00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37"/>
        <w:ind w:right="-6" w:firstLine="0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10. Место, дата и время рассмотрения конкурсной комиссией заявок на участие в конкурсе: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37"/>
        <w:ind w:firstLine="708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Место, дата и время рассмотрения конкурсной комиссией заявок на участие в конкурсе:</w:t>
      </w:r>
      <w:r>
        <w:rPr>
          <w:b w:val="0"/>
          <w:bCs w:val="0"/>
          <w:sz w:val="24"/>
          <w:szCs w:val="24"/>
          <w:highlight w:val="none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  <w:t xml:space="preserve">Иркутская область, г. Тайшет, ул.Свободы, </w:t>
      </w:r>
      <w:r>
        <w:rPr>
          <w:b w:val="0"/>
          <w:bCs w:val="0"/>
          <w:sz w:val="24"/>
          <w:szCs w:val="24"/>
          <w:highlight w:val="none"/>
        </w:rPr>
        <w:t xml:space="preserve">д.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, помещ.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Н</w:t>
      </w:r>
      <w:r>
        <w:rPr>
          <w:b w:val="0"/>
          <w:bCs w:val="0"/>
          <w:sz w:val="24"/>
          <w:szCs w:val="24"/>
          <w:highlight w:val="none"/>
        </w:rPr>
        <w:t xml:space="preserve">, кабинет 28,  20 июля 2026 года в 10-00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7"/>
        <w:ind w:right="-6" w:firstLine="0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1</w:t>
      </w:r>
      <w:r>
        <w:rPr>
          <w:b/>
          <w:sz w:val="24"/>
          <w:szCs w:val="24"/>
          <w:highlight w:val="none"/>
        </w:rPr>
        <w:t xml:space="preserve">1. Место, дата и время проведения конкурса: 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37"/>
        <w:ind w:firstLine="708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Место, дата и время проведения конкурса:</w:t>
      </w:r>
      <w:r>
        <w:rPr>
          <w:b w:val="0"/>
          <w:bCs w:val="0"/>
          <w:sz w:val="24"/>
          <w:szCs w:val="24"/>
          <w:highlight w:val="none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  <w:t xml:space="preserve">Иркутская область, г. Тайшет, ул.Свободы, </w:t>
      </w:r>
      <w:r>
        <w:rPr>
          <w:b w:val="0"/>
          <w:bCs w:val="0"/>
          <w:sz w:val="24"/>
          <w:szCs w:val="24"/>
          <w:highlight w:val="none"/>
        </w:rPr>
        <w:t xml:space="preserve">д.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, помещ.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Н</w:t>
      </w:r>
      <w:r>
        <w:rPr>
          <w:b w:val="0"/>
          <w:bCs w:val="0"/>
          <w:sz w:val="24"/>
          <w:szCs w:val="24"/>
          <w:highlight w:val="none"/>
        </w:rPr>
        <w:t xml:space="preserve">, кабинет 28,  22 июля 2026 года в 10-00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37"/>
        <w:ind w:right="-6" w:firstLine="0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1</w:t>
      </w:r>
      <w:r>
        <w:rPr>
          <w:b/>
          <w:sz w:val="24"/>
          <w:szCs w:val="24"/>
          <w:highlight w:val="none"/>
        </w:rPr>
        <w:t xml:space="preserve">2. Размер обеспечения заявки на участие в конкурсе составляет: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ind w:left="0" w:right="0" w:firstLine="839"/>
        <w:jc w:val="both"/>
        <w:spacing w:line="272" w:lineRule="atLeast"/>
        <w:shd w:val="clear" w:color="ffffff" w:fill="ffffff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Размер обеспечения заявки на участие в конкурсе составляет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10148,26 рублей (десять тысяч сто сорок восемь рублей 26 копеек).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both"/>
        <w:spacing w:line="272" w:lineRule="atLeast"/>
        <w:shd w:val="clear" w:color="ffffff" w:fill="ffffff"/>
        <w:rPr>
          <w:rFonts w:ascii="Times New Roman" w:hAnsi="Times New Roman" w:eastAsia="Times New Roman" w:cs="Times New Roman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  <w:t xml:space="preserve">13 Реквизиты банковского счета для перечисления средств в качестве обеспечения заявки на участие в конкурсе: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0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Наименование получателя: 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Муниципальное казённое учреждение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Управление  жилищно-коммунального хозяйства администрации Тайшетского муниципального округа»,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ИНН 3816038607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КПП 381601001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ОКТМО 25636101001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азначейский счет (корр.счет) 40102810145370000026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Единый казначейский счет (расчетн. счет) 03232643255360003400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ОКЦ №4 СибГУ Банк России//УФК по Иркутской области г. Иркутск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БИК 012520101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л/с 92501060201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КБК 00000000000000000517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0" w:right="-6" w:firstLine="709"/>
        <w:jc w:val="both"/>
        <w:spacing w:line="57" w:lineRule="atLeast"/>
        <w:rPr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В платежном поручении, в графе «назначение платежа» указывается: «Денежное обеспечение заявки для участия в открытом конкурсе на право заключения договора управления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многоквартирным домом по адресу: Иркутская область, г.Тайшет, мкр.им.Мясникова, д. 9 и 10, НДС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е облагается».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14. Срок действия договора управления многоквартирным домом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-6" w:firstLine="708"/>
        <w:jc w:val="both"/>
        <w:spacing w:line="57" w:lineRule="atLeast"/>
        <w:rPr>
          <w:b w:val="0"/>
          <w:bCs w:val="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Срок действия договора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устанавливается на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3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года.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rFonts w:ascii="Times New Roman" w:hAnsi="Times New Roman" w:cs="Times New Roman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sz w:val="24"/>
          <w:szCs w:val="24"/>
          <w:highlight w:val="none"/>
        </w:rPr>
        <w:framePr w:hSpace="180" w:wrap="around" w:vAnchor="text" w:hAnchor="margin" w:y="24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ачальник управления жилищно-коммунального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sz w:val="24"/>
          <w:szCs w:val="24"/>
          <w:highlight w:val="none"/>
        </w:rPr>
        <w:framePr w:hSpace="180" w:wrap="around" w:vAnchor="text" w:hAnchor="margin" w:y="24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хозяйства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администрации Тайшетского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муниципального округа                                                                                      Е.В.Пуляров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426" w:right="466" w:bottom="360" w:left="1134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alibri">
    <w:panose1 w:val="020F0502020204030204"/>
  </w:font>
  <w:font w:name="Times New Roman">
    <w:panose1 w:val="02020603050405020304"/>
  </w:font>
  <w:font w:name="Consultant">
    <w:panose1 w:val="02020603050405020304"/>
  </w:font>
  <w:font w:name="Courier New">
    <w:panose1 w:val="020704090202050204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rPr>
        <w:rStyle w:val="948"/>
      </w:rPr>
      <w:framePr w:wrap="around" w:vAnchor="text" w:hAnchor="margin" w:xAlign="right" w:y="1"/>
    </w:pPr>
    <w:r>
      <w:rPr>
        <w:rStyle w:val="948"/>
      </w:rPr>
      <w:fldChar w:fldCharType="begin"/>
    </w:r>
    <w:r>
      <w:rPr>
        <w:rStyle w:val="948"/>
      </w:rPr>
      <w:instrText xml:space="preserve">PAGE  </w:instrText>
    </w:r>
    <w:r>
      <w:rPr>
        <w:rStyle w:val="948"/>
      </w:rPr>
      <w:fldChar w:fldCharType="separate"/>
    </w:r>
    <w:r>
      <w:rPr>
        <w:rStyle w:val="948"/>
      </w:rPr>
      <w:t xml:space="preserve">3</w:t>
    </w:r>
    <w:r>
      <w:rPr>
        <w:rStyle w:val="948"/>
      </w:rPr>
      <w:fldChar w:fldCharType="end"/>
    </w:r>
    <w:r>
      <w:rPr>
        <w:rStyle w:val="948"/>
      </w:rPr>
    </w:r>
    <w:r>
      <w:rPr>
        <w:rStyle w:val="948"/>
      </w:rPr>
    </w:r>
  </w:p>
  <w:p>
    <w:pPr>
      <w:pStyle w:val="94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rPr>
        <w:rStyle w:val="948"/>
      </w:rPr>
      <w:framePr w:wrap="around" w:vAnchor="text" w:hAnchor="margin" w:xAlign="right" w:y="1"/>
    </w:pPr>
    <w:r>
      <w:rPr>
        <w:rStyle w:val="948"/>
      </w:rPr>
      <w:fldChar w:fldCharType="begin"/>
    </w:r>
    <w:r>
      <w:rPr>
        <w:rStyle w:val="948"/>
      </w:rPr>
      <w:instrText xml:space="preserve">PAGE  </w:instrText>
    </w:r>
    <w:r>
      <w:rPr>
        <w:rStyle w:val="948"/>
      </w:rPr>
      <w:fldChar w:fldCharType="end"/>
    </w:r>
    <w:r>
      <w:rPr>
        <w:rStyle w:val="948"/>
      </w:rPr>
    </w:r>
    <w:r>
      <w:rPr>
        <w:rStyle w:val="948"/>
      </w:rPr>
    </w:r>
  </w:p>
  <w:p>
    <w:pPr>
      <w:pStyle w:val="94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7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 w:eastAsia="Times New Roman"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70" w:hanging="390"/>
        <w:tabs>
          <w:tab w:val="num" w:pos="11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500" w:hanging="720"/>
        <w:tabs>
          <w:tab w:val="num" w:pos="15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0" w:hanging="720"/>
        <w:tabs>
          <w:tab w:val="num" w:pos="15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60" w:hanging="1080"/>
        <w:tabs>
          <w:tab w:val="num" w:pos="18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60" w:hanging="1080"/>
        <w:tabs>
          <w:tab w:val="num" w:pos="18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20" w:hanging="1440"/>
        <w:tabs>
          <w:tab w:val="num" w:pos="22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0" w:hanging="1440"/>
        <w:tabs>
          <w:tab w:val="num" w:pos="2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0" w:hanging="1800"/>
        <w:tabs>
          <w:tab w:val="num" w:pos="258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1"/>
      <w:numFmt w:val="decimal"/>
      <w:pStyle w:val="957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5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590" w:hanging="360"/>
        <w:tabs>
          <w:tab w:val="num" w:pos="15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10" w:hanging="180"/>
        <w:tabs>
          <w:tab w:val="num" w:pos="23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30" w:hanging="360"/>
        <w:tabs>
          <w:tab w:val="num" w:pos="30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50" w:hanging="360"/>
        <w:tabs>
          <w:tab w:val="num" w:pos="37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470" w:hanging="180"/>
        <w:tabs>
          <w:tab w:val="num" w:pos="44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90" w:hanging="360"/>
        <w:tabs>
          <w:tab w:val="num" w:pos="51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10" w:hanging="360"/>
        <w:tabs>
          <w:tab w:val="num" w:pos="59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30" w:hanging="180"/>
        <w:tabs>
          <w:tab w:val="num" w:pos="663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70" w:hanging="390"/>
        <w:tabs>
          <w:tab w:val="num" w:pos="11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500" w:hanging="720"/>
        <w:tabs>
          <w:tab w:val="num" w:pos="15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0" w:hanging="720"/>
        <w:tabs>
          <w:tab w:val="num" w:pos="15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60" w:hanging="1080"/>
        <w:tabs>
          <w:tab w:val="num" w:pos="18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60" w:hanging="1080"/>
        <w:tabs>
          <w:tab w:val="num" w:pos="18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20" w:hanging="1440"/>
        <w:tabs>
          <w:tab w:val="num" w:pos="22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0" w:hanging="1440"/>
        <w:tabs>
          <w:tab w:val="num" w:pos="2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0" w:hanging="1800"/>
        <w:tabs>
          <w:tab w:val="num" w:pos="25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7"/>
  </w:num>
  <w:num w:numId="5">
    <w:abstractNumId w:val="8"/>
  </w:num>
  <w:num w:numId="6">
    <w:abstractNumId w:val="24"/>
  </w:num>
  <w:num w:numId="7">
    <w:abstractNumId w:val="20"/>
  </w:num>
  <w:num w:numId="8">
    <w:abstractNumId w:val="22"/>
  </w:num>
  <w:num w:numId="9">
    <w:abstractNumId w:val="0"/>
  </w:num>
  <w:num w:numId="10">
    <w:abstractNumId w:val="25"/>
  </w:num>
  <w:num w:numId="11">
    <w:abstractNumId w:val="11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  <w:num w:numId="16">
    <w:abstractNumId w:val="17"/>
  </w:num>
  <w:num w:numId="17">
    <w:abstractNumId w:val="23"/>
  </w:num>
  <w:num w:numId="18">
    <w:abstractNumId w:val="19"/>
  </w:num>
  <w:num w:numId="19">
    <w:abstractNumId w:val="10"/>
  </w:num>
  <w:num w:numId="20">
    <w:abstractNumId w:val="16"/>
  </w:num>
  <w:num w:numId="21">
    <w:abstractNumId w:val="9"/>
  </w:num>
  <w:num w:numId="22">
    <w:abstractNumId w:val="13"/>
  </w:num>
  <w:num w:numId="23">
    <w:abstractNumId w:val="18"/>
  </w:num>
  <w:num w:numId="24">
    <w:abstractNumId w:val="21"/>
  </w:num>
  <w:num w:numId="25">
    <w:abstractNumId w:val="15"/>
  </w:num>
  <w:num w:numId="26">
    <w:abstractNumId w:val="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0">
    <w:name w:val="Heading 1"/>
    <w:basedOn w:val="937"/>
    <w:next w:val="937"/>
    <w:link w:val="7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61">
    <w:name w:val="Heading 1 Char"/>
    <w:link w:val="760"/>
    <w:uiPriority w:val="9"/>
    <w:rPr>
      <w:rFonts w:ascii="Arial" w:hAnsi="Arial" w:eastAsia="Arial" w:cs="Arial"/>
      <w:sz w:val="40"/>
      <w:szCs w:val="40"/>
    </w:rPr>
  </w:style>
  <w:style w:type="paragraph" w:styleId="762">
    <w:name w:val="Heading 2"/>
    <w:basedOn w:val="937"/>
    <w:next w:val="937"/>
    <w:link w:val="7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63">
    <w:name w:val="Heading 2 Char"/>
    <w:link w:val="762"/>
    <w:uiPriority w:val="9"/>
    <w:rPr>
      <w:rFonts w:ascii="Arial" w:hAnsi="Arial" w:eastAsia="Arial" w:cs="Arial"/>
      <w:sz w:val="34"/>
    </w:rPr>
  </w:style>
  <w:style w:type="paragraph" w:styleId="764">
    <w:name w:val="Heading 3"/>
    <w:basedOn w:val="937"/>
    <w:next w:val="937"/>
    <w:link w:val="7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5">
    <w:name w:val="Heading 3 Char"/>
    <w:link w:val="764"/>
    <w:uiPriority w:val="9"/>
    <w:rPr>
      <w:rFonts w:ascii="Arial" w:hAnsi="Arial" w:eastAsia="Arial" w:cs="Arial"/>
      <w:sz w:val="30"/>
      <w:szCs w:val="30"/>
    </w:rPr>
  </w:style>
  <w:style w:type="paragraph" w:styleId="766">
    <w:name w:val="Heading 4"/>
    <w:basedOn w:val="937"/>
    <w:next w:val="937"/>
    <w:link w:val="7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7">
    <w:name w:val="Heading 4 Char"/>
    <w:link w:val="766"/>
    <w:uiPriority w:val="9"/>
    <w:rPr>
      <w:rFonts w:ascii="Arial" w:hAnsi="Arial" w:eastAsia="Arial" w:cs="Arial"/>
      <w:b/>
      <w:bCs/>
      <w:sz w:val="26"/>
      <w:szCs w:val="26"/>
    </w:rPr>
  </w:style>
  <w:style w:type="paragraph" w:styleId="768">
    <w:name w:val="Heading 5"/>
    <w:basedOn w:val="937"/>
    <w:next w:val="937"/>
    <w:link w:val="7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9">
    <w:name w:val="Heading 5 Char"/>
    <w:link w:val="768"/>
    <w:uiPriority w:val="9"/>
    <w:rPr>
      <w:rFonts w:ascii="Arial" w:hAnsi="Arial" w:eastAsia="Arial" w:cs="Arial"/>
      <w:b/>
      <w:bCs/>
      <w:sz w:val="24"/>
      <w:szCs w:val="24"/>
    </w:rPr>
  </w:style>
  <w:style w:type="paragraph" w:styleId="770">
    <w:name w:val="Heading 6"/>
    <w:basedOn w:val="937"/>
    <w:next w:val="937"/>
    <w:link w:val="7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1">
    <w:name w:val="Heading 6 Char"/>
    <w:link w:val="770"/>
    <w:uiPriority w:val="9"/>
    <w:rPr>
      <w:rFonts w:ascii="Arial" w:hAnsi="Arial" w:eastAsia="Arial" w:cs="Arial"/>
      <w:b/>
      <w:bCs/>
      <w:sz w:val="22"/>
      <w:szCs w:val="22"/>
    </w:rPr>
  </w:style>
  <w:style w:type="paragraph" w:styleId="772">
    <w:name w:val="Heading 7"/>
    <w:basedOn w:val="937"/>
    <w:next w:val="937"/>
    <w:link w:val="7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3">
    <w:name w:val="Heading 7 Char"/>
    <w:link w:val="7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4">
    <w:name w:val="Heading 8"/>
    <w:basedOn w:val="937"/>
    <w:next w:val="937"/>
    <w:link w:val="7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5">
    <w:name w:val="Heading 8 Char"/>
    <w:link w:val="774"/>
    <w:uiPriority w:val="9"/>
    <w:rPr>
      <w:rFonts w:ascii="Arial" w:hAnsi="Arial" w:eastAsia="Arial" w:cs="Arial"/>
      <w:i/>
      <w:iCs/>
      <w:sz w:val="22"/>
      <w:szCs w:val="22"/>
    </w:rPr>
  </w:style>
  <w:style w:type="paragraph" w:styleId="776">
    <w:name w:val="Heading 9"/>
    <w:basedOn w:val="937"/>
    <w:next w:val="937"/>
    <w:link w:val="7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7">
    <w:name w:val="Heading 9 Char"/>
    <w:link w:val="776"/>
    <w:uiPriority w:val="9"/>
    <w:rPr>
      <w:rFonts w:ascii="Arial" w:hAnsi="Arial" w:eastAsia="Arial" w:cs="Arial"/>
      <w:i/>
      <w:iCs/>
      <w:sz w:val="21"/>
      <w:szCs w:val="21"/>
    </w:rPr>
  </w:style>
  <w:style w:type="paragraph" w:styleId="778">
    <w:name w:val="List Paragraph"/>
    <w:basedOn w:val="937"/>
    <w:uiPriority w:val="34"/>
    <w:qFormat/>
    <w:pPr>
      <w:contextualSpacing/>
      <w:ind w:left="720"/>
    </w:pPr>
  </w:style>
  <w:style w:type="paragraph" w:styleId="779">
    <w:name w:val="Title"/>
    <w:basedOn w:val="937"/>
    <w:next w:val="937"/>
    <w:link w:val="7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0">
    <w:name w:val="Title Char"/>
    <w:link w:val="779"/>
    <w:uiPriority w:val="10"/>
    <w:rPr>
      <w:sz w:val="48"/>
      <w:szCs w:val="48"/>
    </w:rPr>
  </w:style>
  <w:style w:type="paragraph" w:styleId="781">
    <w:name w:val="Subtitle"/>
    <w:basedOn w:val="937"/>
    <w:next w:val="937"/>
    <w:link w:val="782"/>
    <w:uiPriority w:val="11"/>
    <w:qFormat/>
    <w:pPr>
      <w:spacing w:before="200" w:after="200"/>
    </w:pPr>
    <w:rPr>
      <w:sz w:val="24"/>
      <w:szCs w:val="24"/>
    </w:rPr>
  </w:style>
  <w:style w:type="character" w:styleId="782">
    <w:name w:val="Subtitle Char"/>
    <w:link w:val="781"/>
    <w:uiPriority w:val="11"/>
    <w:rPr>
      <w:sz w:val="24"/>
      <w:szCs w:val="24"/>
    </w:rPr>
  </w:style>
  <w:style w:type="paragraph" w:styleId="783">
    <w:name w:val="Quote"/>
    <w:basedOn w:val="937"/>
    <w:next w:val="937"/>
    <w:link w:val="784"/>
    <w:uiPriority w:val="29"/>
    <w:qFormat/>
    <w:pPr>
      <w:ind w:left="720" w:right="720"/>
    </w:pPr>
    <w:rPr>
      <w:i/>
    </w:rPr>
  </w:style>
  <w:style w:type="character" w:styleId="784">
    <w:name w:val="Quote Char"/>
    <w:link w:val="783"/>
    <w:uiPriority w:val="29"/>
    <w:rPr>
      <w:i/>
    </w:rPr>
  </w:style>
  <w:style w:type="paragraph" w:styleId="785">
    <w:name w:val="Intense Quote"/>
    <w:basedOn w:val="937"/>
    <w:next w:val="937"/>
    <w:link w:val="7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6">
    <w:name w:val="Intense Quote Char"/>
    <w:link w:val="785"/>
    <w:uiPriority w:val="30"/>
    <w:rPr>
      <w:i/>
    </w:rPr>
  </w:style>
  <w:style w:type="paragraph" w:styleId="787">
    <w:name w:val="Header"/>
    <w:basedOn w:val="937"/>
    <w:link w:val="7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8">
    <w:name w:val="Header Char"/>
    <w:link w:val="787"/>
    <w:uiPriority w:val="99"/>
  </w:style>
  <w:style w:type="paragraph" w:styleId="789">
    <w:name w:val="Footer"/>
    <w:basedOn w:val="937"/>
    <w:link w:val="7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0">
    <w:name w:val="Footer Char"/>
    <w:link w:val="789"/>
    <w:uiPriority w:val="99"/>
  </w:style>
  <w:style w:type="paragraph" w:styleId="791">
    <w:name w:val="Caption"/>
    <w:basedOn w:val="937"/>
    <w:next w:val="9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2">
    <w:name w:val="Caption Char"/>
    <w:basedOn w:val="791"/>
    <w:link w:val="789"/>
    <w:uiPriority w:val="99"/>
  </w:style>
  <w:style w:type="table" w:styleId="79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9">
    <w:name w:val="Hyperlink"/>
    <w:uiPriority w:val="99"/>
    <w:unhideWhenUsed/>
    <w:rPr>
      <w:color w:val="0000ff" w:themeColor="hyperlink"/>
      <w:u w:val="single"/>
    </w:rPr>
  </w:style>
  <w:style w:type="paragraph" w:styleId="920">
    <w:name w:val="footnote text"/>
    <w:basedOn w:val="937"/>
    <w:link w:val="921"/>
    <w:uiPriority w:val="99"/>
    <w:semiHidden/>
    <w:unhideWhenUsed/>
    <w:pPr>
      <w:spacing w:after="40" w:line="240" w:lineRule="auto"/>
    </w:pPr>
    <w:rPr>
      <w:sz w:val="18"/>
    </w:rPr>
  </w:style>
  <w:style w:type="character" w:styleId="921">
    <w:name w:val="Footnote Text Char"/>
    <w:link w:val="920"/>
    <w:uiPriority w:val="99"/>
    <w:rPr>
      <w:sz w:val="18"/>
    </w:rPr>
  </w:style>
  <w:style w:type="character" w:styleId="922">
    <w:name w:val="footnote reference"/>
    <w:uiPriority w:val="99"/>
    <w:unhideWhenUsed/>
    <w:rPr>
      <w:vertAlign w:val="superscript"/>
    </w:rPr>
  </w:style>
  <w:style w:type="paragraph" w:styleId="923">
    <w:name w:val="endnote text"/>
    <w:basedOn w:val="937"/>
    <w:link w:val="924"/>
    <w:uiPriority w:val="99"/>
    <w:semiHidden/>
    <w:unhideWhenUsed/>
    <w:pPr>
      <w:spacing w:after="0" w:line="240" w:lineRule="auto"/>
    </w:pPr>
    <w:rPr>
      <w:sz w:val="20"/>
    </w:rPr>
  </w:style>
  <w:style w:type="character" w:styleId="924">
    <w:name w:val="Endnote Text Char"/>
    <w:link w:val="923"/>
    <w:uiPriority w:val="99"/>
    <w:rPr>
      <w:sz w:val="20"/>
    </w:rPr>
  </w:style>
  <w:style w:type="character" w:styleId="925">
    <w:name w:val="endnote reference"/>
    <w:uiPriority w:val="99"/>
    <w:semiHidden/>
    <w:unhideWhenUsed/>
    <w:rPr>
      <w:vertAlign w:val="superscript"/>
    </w:rPr>
  </w:style>
  <w:style w:type="paragraph" w:styleId="926">
    <w:name w:val="toc 1"/>
    <w:basedOn w:val="937"/>
    <w:next w:val="937"/>
    <w:uiPriority w:val="39"/>
    <w:unhideWhenUsed/>
    <w:pPr>
      <w:ind w:left="0" w:right="0" w:firstLine="0"/>
      <w:spacing w:after="57"/>
    </w:pPr>
  </w:style>
  <w:style w:type="paragraph" w:styleId="927">
    <w:name w:val="toc 2"/>
    <w:basedOn w:val="937"/>
    <w:next w:val="937"/>
    <w:uiPriority w:val="39"/>
    <w:unhideWhenUsed/>
    <w:pPr>
      <w:ind w:left="283" w:right="0" w:firstLine="0"/>
      <w:spacing w:after="57"/>
    </w:pPr>
  </w:style>
  <w:style w:type="paragraph" w:styleId="928">
    <w:name w:val="toc 3"/>
    <w:basedOn w:val="937"/>
    <w:next w:val="937"/>
    <w:uiPriority w:val="39"/>
    <w:unhideWhenUsed/>
    <w:pPr>
      <w:ind w:left="567" w:right="0" w:firstLine="0"/>
      <w:spacing w:after="57"/>
    </w:pPr>
  </w:style>
  <w:style w:type="paragraph" w:styleId="929">
    <w:name w:val="toc 4"/>
    <w:basedOn w:val="937"/>
    <w:next w:val="937"/>
    <w:uiPriority w:val="39"/>
    <w:unhideWhenUsed/>
    <w:pPr>
      <w:ind w:left="850" w:right="0" w:firstLine="0"/>
      <w:spacing w:after="57"/>
    </w:pPr>
  </w:style>
  <w:style w:type="paragraph" w:styleId="930">
    <w:name w:val="toc 5"/>
    <w:basedOn w:val="937"/>
    <w:next w:val="937"/>
    <w:uiPriority w:val="39"/>
    <w:unhideWhenUsed/>
    <w:pPr>
      <w:ind w:left="1134" w:right="0" w:firstLine="0"/>
      <w:spacing w:after="57"/>
    </w:pPr>
  </w:style>
  <w:style w:type="paragraph" w:styleId="931">
    <w:name w:val="toc 6"/>
    <w:basedOn w:val="937"/>
    <w:next w:val="937"/>
    <w:uiPriority w:val="39"/>
    <w:unhideWhenUsed/>
    <w:pPr>
      <w:ind w:left="1417" w:right="0" w:firstLine="0"/>
      <w:spacing w:after="57"/>
    </w:pPr>
  </w:style>
  <w:style w:type="paragraph" w:styleId="932">
    <w:name w:val="toc 7"/>
    <w:basedOn w:val="937"/>
    <w:next w:val="937"/>
    <w:uiPriority w:val="39"/>
    <w:unhideWhenUsed/>
    <w:pPr>
      <w:ind w:left="1701" w:right="0" w:firstLine="0"/>
      <w:spacing w:after="57"/>
    </w:pPr>
  </w:style>
  <w:style w:type="paragraph" w:styleId="933">
    <w:name w:val="toc 8"/>
    <w:basedOn w:val="937"/>
    <w:next w:val="937"/>
    <w:uiPriority w:val="39"/>
    <w:unhideWhenUsed/>
    <w:pPr>
      <w:ind w:left="1984" w:right="0" w:firstLine="0"/>
      <w:spacing w:after="57"/>
    </w:pPr>
  </w:style>
  <w:style w:type="paragraph" w:styleId="934">
    <w:name w:val="toc 9"/>
    <w:basedOn w:val="937"/>
    <w:next w:val="937"/>
    <w:uiPriority w:val="39"/>
    <w:unhideWhenUsed/>
    <w:pPr>
      <w:ind w:left="2268" w:right="0" w:firstLine="0"/>
      <w:spacing w:after="57"/>
    </w:pPr>
  </w:style>
  <w:style w:type="paragraph" w:styleId="935">
    <w:name w:val="TOC Heading"/>
    <w:uiPriority w:val="39"/>
    <w:unhideWhenUsed/>
  </w:style>
  <w:style w:type="paragraph" w:styleId="936">
    <w:name w:val="table of figures"/>
    <w:basedOn w:val="937"/>
    <w:next w:val="937"/>
    <w:uiPriority w:val="99"/>
    <w:unhideWhenUsed/>
    <w:pPr>
      <w:spacing w:after="0" w:afterAutospacing="0"/>
    </w:pPr>
  </w:style>
  <w:style w:type="paragraph" w:styleId="937" w:default="1">
    <w:name w:val="Normal"/>
    <w:next w:val="937"/>
    <w:link w:val="937"/>
    <w:qFormat/>
    <w:rPr>
      <w:sz w:val="24"/>
      <w:szCs w:val="24"/>
      <w:lang w:val="ru-RU" w:eastAsia="ru-RU" w:bidi="ar-SA"/>
    </w:rPr>
  </w:style>
  <w:style w:type="paragraph" w:styleId="938">
    <w:name w:val="Заголовок 1"/>
    <w:basedOn w:val="937"/>
    <w:next w:val="937"/>
    <w:link w:val="937"/>
    <w:qFormat/>
    <w:pPr>
      <w:jc w:val="center"/>
      <w:keepNext/>
      <w:outlineLvl w:val="0"/>
    </w:pPr>
    <w:rPr>
      <w:b/>
      <w:szCs w:val="20"/>
    </w:rPr>
  </w:style>
  <w:style w:type="paragraph" w:styleId="939">
    <w:name w:val="Заголовок 2"/>
    <w:basedOn w:val="937"/>
    <w:next w:val="937"/>
    <w:link w:val="937"/>
    <w:qFormat/>
    <w:pPr>
      <w:jc w:val="center"/>
      <w:keepNext/>
      <w:outlineLvl w:val="1"/>
    </w:pPr>
    <w:rPr>
      <w:b/>
      <w:sz w:val="28"/>
      <w:szCs w:val="20"/>
    </w:rPr>
  </w:style>
  <w:style w:type="paragraph" w:styleId="940">
    <w:name w:val="Заголовок 3"/>
    <w:basedOn w:val="937"/>
    <w:next w:val="937"/>
    <w:link w:val="937"/>
    <w:qFormat/>
    <w:pPr>
      <w:ind w:left="720"/>
      <w:keepNext/>
      <w:outlineLvl w:val="2"/>
    </w:pPr>
    <w:rPr>
      <w:b/>
      <w:szCs w:val="20"/>
    </w:rPr>
  </w:style>
  <w:style w:type="character" w:styleId="941">
    <w:name w:val="Основной шрифт абзаца"/>
    <w:next w:val="941"/>
    <w:link w:val="937"/>
    <w:semiHidden/>
  </w:style>
  <w:style w:type="table" w:styleId="942">
    <w:name w:val="Обычная таблица"/>
    <w:next w:val="942"/>
    <w:link w:val="937"/>
    <w:semiHidden/>
    <w:tblPr/>
  </w:style>
  <w:style w:type="numbering" w:styleId="943">
    <w:name w:val="Нет списка"/>
    <w:next w:val="943"/>
    <w:link w:val="937"/>
    <w:semiHidden/>
  </w:style>
  <w:style w:type="paragraph" w:styleId="944">
    <w:name w:val="Основной текст с отступом 2"/>
    <w:basedOn w:val="937"/>
    <w:next w:val="944"/>
    <w:link w:val="937"/>
    <w:pPr>
      <w:ind w:firstLine="720"/>
      <w:jc w:val="both"/>
    </w:pPr>
    <w:rPr>
      <w:szCs w:val="20"/>
    </w:rPr>
  </w:style>
  <w:style w:type="table" w:styleId="945">
    <w:name w:val="Сетка таблицы"/>
    <w:basedOn w:val="942"/>
    <w:next w:val="945"/>
    <w:link w:val="937"/>
    <w:tblPr/>
  </w:style>
  <w:style w:type="paragraph" w:styleId="946">
    <w:name w:val="ConsPlusNormal"/>
    <w:next w:val="946"/>
    <w:link w:val="937"/>
    <w:pPr>
      <w:ind w:firstLine="720"/>
      <w:widowControl w:val="off"/>
    </w:pPr>
    <w:rPr>
      <w:rFonts w:ascii="Arial" w:hAnsi="Arial" w:eastAsia="Arial" w:cs="Arial"/>
      <w:lang w:val="ru-RU" w:eastAsia="ar-SA" w:bidi="ar-SA"/>
    </w:rPr>
  </w:style>
  <w:style w:type="paragraph" w:styleId="947">
    <w:name w:val="Нижний колонтитул"/>
    <w:basedOn w:val="937"/>
    <w:next w:val="947"/>
    <w:link w:val="937"/>
    <w:pPr>
      <w:tabs>
        <w:tab w:val="center" w:pos="4677" w:leader="none"/>
        <w:tab w:val="right" w:pos="9355" w:leader="none"/>
      </w:tabs>
    </w:pPr>
  </w:style>
  <w:style w:type="character" w:styleId="948">
    <w:name w:val="Номер страницы"/>
    <w:basedOn w:val="941"/>
    <w:next w:val="948"/>
    <w:link w:val="937"/>
  </w:style>
  <w:style w:type="character" w:styleId="949">
    <w:name w:val="Гиперссылка"/>
    <w:basedOn w:val="941"/>
    <w:next w:val="949"/>
    <w:link w:val="937"/>
    <w:rPr>
      <w:color w:val="0000ff"/>
      <w:u w:val="single"/>
    </w:rPr>
  </w:style>
  <w:style w:type="paragraph" w:styleId="950">
    <w:name w:val="Основной текст"/>
    <w:basedOn w:val="937"/>
    <w:next w:val="950"/>
    <w:link w:val="937"/>
    <w:pPr>
      <w:jc w:val="both"/>
    </w:pPr>
    <w:rPr>
      <w:sz w:val="22"/>
      <w:szCs w:val="20"/>
    </w:rPr>
  </w:style>
  <w:style w:type="paragraph" w:styleId="951">
    <w:name w:val="Обычный (веб)"/>
    <w:basedOn w:val="937"/>
    <w:next w:val="951"/>
    <w:link w:val="937"/>
    <w:pPr>
      <w:spacing w:before="100" w:beforeAutospacing="1" w:after="100" w:afterAutospacing="1" w:line="288" w:lineRule="auto"/>
    </w:pPr>
    <w:rPr>
      <w:rFonts w:ascii="Arial" w:hAnsi="Arial" w:cs="Arial"/>
      <w:color w:val="333333"/>
      <w:sz w:val="18"/>
      <w:szCs w:val="18"/>
    </w:rPr>
  </w:style>
  <w:style w:type="paragraph" w:styleId="952">
    <w:name w:val="Основной текст с отступом"/>
    <w:basedOn w:val="937"/>
    <w:next w:val="952"/>
    <w:link w:val="937"/>
    <w:pPr>
      <w:ind w:left="283"/>
      <w:spacing w:after="120"/>
    </w:pPr>
    <w:rPr>
      <w:sz w:val="22"/>
      <w:szCs w:val="20"/>
    </w:rPr>
  </w:style>
  <w:style w:type="paragraph" w:styleId="953">
    <w:name w:val="ConsPlusNonformat"/>
    <w:next w:val="953"/>
    <w:link w:val="937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54">
    <w:name w:val="ConsNormal"/>
    <w:next w:val="954"/>
    <w:link w:val="937"/>
    <w:pPr>
      <w:ind w:firstLine="720"/>
    </w:pPr>
    <w:rPr>
      <w:rFonts w:ascii="Consultant" w:hAnsi="Consultant" w:eastAsia="Arial"/>
      <w:lang w:val="ru-RU" w:eastAsia="ar-SA" w:bidi="ar-SA"/>
    </w:rPr>
  </w:style>
  <w:style w:type="paragraph" w:styleId="955">
    <w:name w:val="Верхний колонтитул"/>
    <w:basedOn w:val="937"/>
    <w:next w:val="955"/>
    <w:link w:val="937"/>
    <w:pPr>
      <w:tabs>
        <w:tab w:val="center" w:pos="4677" w:leader="none"/>
        <w:tab w:val="right" w:pos="9355" w:leader="none"/>
      </w:tabs>
    </w:pPr>
    <w:rPr>
      <w:sz w:val="22"/>
      <w:szCs w:val="20"/>
    </w:rPr>
  </w:style>
  <w:style w:type="paragraph" w:styleId="956">
    <w:name w:val="No Spacing"/>
    <w:next w:val="956"/>
    <w:link w:val="937"/>
    <w:rPr>
      <w:rFonts w:ascii="Calibri" w:hAnsi="Calibri"/>
      <w:sz w:val="22"/>
      <w:szCs w:val="22"/>
      <w:lang w:val="ru-RU" w:eastAsia="ru-RU" w:bidi="ar-SA"/>
    </w:rPr>
  </w:style>
  <w:style w:type="paragraph" w:styleId="957">
    <w:name w:val="Стиль3"/>
    <w:basedOn w:val="944"/>
    <w:next w:val="957"/>
    <w:link w:val="937"/>
    <w:pPr>
      <w:numPr>
        <w:ilvl w:val="0"/>
        <w:numId w:val="22"/>
      </w:numPr>
      <w:ind w:left="1080" w:firstLine="0"/>
      <w:widowControl w:val="off"/>
      <w:tabs>
        <w:tab w:val="num" w:pos="1307" w:leader="none"/>
      </w:tabs>
    </w:pPr>
  </w:style>
  <w:style w:type="paragraph" w:styleId="958">
    <w:name w:val="Основной текст с отступом 3"/>
    <w:basedOn w:val="937"/>
    <w:next w:val="958"/>
    <w:link w:val="937"/>
    <w:pPr>
      <w:ind w:firstLine="360"/>
      <w:jc w:val="both"/>
      <w:widowControl w:val="off"/>
      <w:tabs>
        <w:tab w:val="num" w:pos="720" w:leader="none"/>
      </w:tabs>
    </w:pPr>
    <w:rPr>
      <w:i/>
      <w:iCs/>
      <w:sz w:val="28"/>
    </w:rPr>
  </w:style>
  <w:style w:type="paragraph" w:styleId="959">
    <w:name w:val="Название"/>
    <w:basedOn w:val="937"/>
    <w:next w:val="959"/>
    <w:link w:val="937"/>
    <w:qFormat/>
    <w:pPr>
      <w:ind w:left="340" w:right="400"/>
      <w:jc w:val="center"/>
      <w:spacing w:line="480" w:lineRule="exact"/>
      <w:widowControl w:val="off"/>
    </w:pPr>
    <w:rPr>
      <w:sz w:val="28"/>
      <w:szCs w:val="28"/>
    </w:rPr>
  </w:style>
  <w:style w:type="paragraph" w:styleId="960">
    <w:name w:val="Style12"/>
    <w:basedOn w:val="937"/>
    <w:next w:val="960"/>
    <w:link w:val="937"/>
    <w:pPr>
      <w:jc w:val="both"/>
      <w:spacing w:line="250" w:lineRule="exact"/>
      <w:widowControl w:val="off"/>
    </w:pPr>
  </w:style>
  <w:style w:type="paragraph" w:styleId="961">
    <w:name w:val="Style16"/>
    <w:basedOn w:val="937"/>
    <w:next w:val="961"/>
    <w:link w:val="937"/>
    <w:pPr>
      <w:ind w:firstLine="624"/>
      <w:jc w:val="both"/>
      <w:spacing w:line="252" w:lineRule="exact"/>
      <w:widowControl w:val="off"/>
    </w:pPr>
  </w:style>
  <w:style w:type="paragraph" w:styleId="962">
    <w:name w:val="Style20"/>
    <w:basedOn w:val="937"/>
    <w:next w:val="962"/>
    <w:link w:val="937"/>
    <w:pPr>
      <w:ind w:firstLine="466"/>
      <w:jc w:val="both"/>
      <w:spacing w:line="259" w:lineRule="exact"/>
      <w:widowControl w:val="off"/>
    </w:pPr>
  </w:style>
  <w:style w:type="paragraph" w:styleId="963">
    <w:name w:val="Style22"/>
    <w:basedOn w:val="937"/>
    <w:next w:val="963"/>
    <w:link w:val="937"/>
    <w:pPr>
      <w:ind w:firstLine="552"/>
      <w:jc w:val="both"/>
      <w:spacing w:line="254" w:lineRule="exact"/>
      <w:widowControl w:val="off"/>
    </w:pPr>
  </w:style>
  <w:style w:type="character" w:styleId="964">
    <w:name w:val="Font Style25"/>
    <w:next w:val="964"/>
    <w:link w:val="937"/>
    <w:rPr>
      <w:rFonts w:ascii="Times New Roman" w:hAnsi="Times New Roman" w:cs="Times New Roman"/>
      <w:b/>
      <w:bCs/>
      <w:sz w:val="22"/>
      <w:szCs w:val="22"/>
    </w:rPr>
  </w:style>
  <w:style w:type="character" w:styleId="965">
    <w:name w:val="Font Style29"/>
    <w:next w:val="965"/>
    <w:link w:val="937"/>
    <w:rPr>
      <w:rFonts w:ascii="Times New Roman" w:hAnsi="Times New Roman" w:cs="Times New Roman"/>
      <w:sz w:val="22"/>
      <w:szCs w:val="22"/>
    </w:rPr>
  </w:style>
  <w:style w:type="paragraph" w:styleId="966">
    <w:name w:val="Style6"/>
    <w:basedOn w:val="937"/>
    <w:next w:val="966"/>
    <w:link w:val="937"/>
    <w:pPr>
      <w:ind w:firstLine="509"/>
      <w:jc w:val="both"/>
      <w:spacing w:line="254" w:lineRule="exact"/>
      <w:widowControl w:val="off"/>
    </w:pPr>
  </w:style>
  <w:style w:type="character" w:styleId="967" w:default="1">
    <w:name w:val="Default Paragraph Font"/>
    <w:uiPriority w:val="1"/>
    <w:semiHidden/>
    <w:unhideWhenUsed/>
  </w:style>
  <w:style w:type="numbering" w:styleId="968" w:default="1">
    <w:name w:val="No List"/>
    <w:uiPriority w:val="99"/>
    <w:semiHidden/>
    <w:unhideWhenUsed/>
  </w:style>
  <w:style w:type="table" w:styleId="96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s://taishet.irkmo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MoBIL GROUP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Otdkumi2</dc:creator>
  <cp:revision>21</cp:revision>
  <dcterms:created xsi:type="dcterms:W3CDTF">2024-10-31T08:01:00Z</dcterms:created>
  <dcterms:modified xsi:type="dcterms:W3CDTF">2026-06-15T04:51:49Z</dcterms:modified>
  <cp:version>786432</cp:version>
</cp:coreProperties>
</file>